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79" w:rsidRPr="00341D7F" w:rsidRDefault="00C86179" w:rsidP="00341D7F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</w:pPr>
      <w:r w:rsidRPr="00341D7F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Роль государственной экспертизы </w:t>
      </w:r>
      <w:r w:rsidR="00341D7F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br/>
      </w:r>
      <w:r w:rsidRPr="00341D7F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результатов инженерно-экологических изысканий </w:t>
      </w:r>
      <w:r w:rsidR="00341D7F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br/>
      </w:r>
      <w:r w:rsidRPr="00341D7F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в снижении экологических и инвестиционных рисков</w:t>
      </w:r>
    </w:p>
    <w:p w:rsidR="00341D7F" w:rsidRDefault="00341D7F" w:rsidP="00341D7F">
      <w:pPr>
        <w:pStyle w:val="BasicParagraph"/>
        <w:suppressAutoHyphens/>
        <w:spacing w:line="240" w:lineRule="auto"/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</w:pPr>
    </w:p>
    <w:p w:rsidR="00C86179" w:rsidRPr="00341D7F" w:rsidRDefault="00C86179" w:rsidP="00341D7F">
      <w:pPr>
        <w:pStyle w:val="BasicParagraph"/>
        <w:suppressAutoHyphens/>
        <w:spacing w:line="240" w:lineRule="auto"/>
        <w:jc w:val="both"/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</w:pPr>
      <w:r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Начальник </w:t>
      </w:r>
      <w:r w:rsid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О</w:t>
      </w:r>
      <w:r w:rsidR="00341D7F"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тдела </w:t>
      </w:r>
      <w:r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инженерно-экологических изысканий </w:t>
      </w:r>
      <w:r w:rsidR="00347BC3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br/>
      </w:r>
      <w:r w:rsid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У</w:t>
      </w:r>
      <w:r w:rsidR="00341D7F"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правления </w:t>
      </w:r>
      <w:r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экологической эксп</w:t>
      </w:r>
      <w:r w:rsid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>е</w:t>
      </w:r>
      <w:r w:rsidRPr="00341D7F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t xml:space="preserve">ртизы ФАУ «Главгосэкспертиза России» </w:t>
      </w:r>
      <w:r w:rsidR="00347BC3">
        <w:rPr>
          <w:rFonts w:ascii="Times New Roman" w:hAnsi="Times New Roman" w:cs="Times New Roman"/>
          <w:bCs/>
          <w:color w:val="auto"/>
          <w:spacing w:val="6"/>
          <w:sz w:val="28"/>
          <w:szCs w:val="28"/>
          <w:lang w:val="ru-RU"/>
        </w:rPr>
        <w:br/>
      </w:r>
      <w:r w:rsidRPr="00341D7F">
        <w:rPr>
          <w:rFonts w:ascii="Times New Roman" w:hAnsi="Times New Roman" w:cs="Times New Roman"/>
          <w:bCs/>
          <w:i/>
          <w:color w:val="auto"/>
          <w:spacing w:val="6"/>
          <w:sz w:val="28"/>
          <w:szCs w:val="28"/>
          <w:lang w:val="ru-RU"/>
        </w:rPr>
        <w:t>Папунов Дмитрий Валерьевич</w:t>
      </w:r>
    </w:p>
    <w:p w:rsidR="00C86179" w:rsidRDefault="00C86179" w:rsidP="00341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1D7F" w:rsidRPr="00341D7F" w:rsidRDefault="00341D7F" w:rsidP="00341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347BC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BEF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статьей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47 Градостроительного кодекса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, инженерные изыскания выполняются для подготовки проектной документации, строительства, реконструкции объектов капитального строительства, а также в целях подготовки документации по планировке территории. Именно на этапе инженерных изысканий участок строительства всесторонне изучается – начиная от геологического строения и розы ветров, заканчивая наличием объектов культурного наследия и социально-экономическими условиями района работ. С учетом всех этих данных принимаются те или иные проектные решения. Таким образом, инженерные изыскания являются фундаментом, на который опирается проект будущего здания или сооружения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 поэтому качественно выполненные инженерные изыскания и их объективные результаты 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22BEF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залог минимизации техногенных, экологических, инвестиционных и иных рисков при реализации проекта.</w:t>
      </w:r>
    </w:p>
    <w:p w:rsidR="00C86179" w:rsidRPr="00341D7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Учитывая фактически отсутствие инженерно-экологических </w:t>
      </w:r>
      <w:r w:rsidR="00347BC3" w:rsidRPr="00347BC3">
        <w:rPr>
          <w:rFonts w:ascii="Times New Roman" w:hAnsi="Times New Roman" w:cs="Times New Roman"/>
          <w:color w:val="auto"/>
          <w:sz w:val="28"/>
          <w:szCs w:val="28"/>
        </w:rPr>
        <w:t xml:space="preserve">изысканий на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стадии планировки территории, сам по себе участок реализации проектных решений при его освоении подразумевает потенциальные экологические и инвестиционные риски, например наличие загрязненных грунтов, местообитаний редких и охраняемых видов растен</w:t>
      </w:r>
      <w:bookmarkStart w:id="0" w:name="_GoBack"/>
      <w:bookmarkEnd w:id="0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ий и животных, наличие объектов культурного наследия,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>собо охраняемы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 xml:space="preserve"> природны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ООПТ</w:t>
      </w:r>
      <w:proofErr w:type="spellEnd"/>
      <w:r w:rsidR="00CF40E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 т.д.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В основе минимизации таких рисков лежат инженерно-экологические изыскания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(далее также – </w:t>
      </w:r>
      <w:proofErr w:type="spellStart"/>
      <w:r w:rsidR="00F22BEF">
        <w:rPr>
          <w:rFonts w:ascii="Times New Roman" w:hAnsi="Times New Roman" w:cs="Times New Roman"/>
          <w:color w:val="auto"/>
          <w:sz w:val="28"/>
          <w:szCs w:val="28"/>
        </w:rPr>
        <w:t>ИЭИ</w:t>
      </w:r>
      <w:proofErr w:type="spellEnd"/>
      <w:r w:rsidR="00F22BE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. Их основной целью является сбор информации о состоянии окружающей природной и социальной среды, необходимой для разработки раздела проектной документации «Перечень мероприятий по охране окружающей среды».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то, что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ИЭИ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это относительно молодой вид инженерных изысканий, на сегодняшний день они являются уже абсолютно самостоятельным видом изысканий со своей научной школой, традициями, методами и проблемами.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Разнообразие и количество объектов, в отношении которых у нас проводится экспертиза, позволяют с уверенностью говорить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о типичности основных вопросов, возникающих при экспертизе результатов ИЭИ, а также о наличии проблем и противоречий, связанных с несовершенством действующего законодательства в области инженерных изысканий.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Если рассматривать основные недостатки отчетной документации по ИЭИ сквозь призму экологических и инвестиционных рисков, то здесь можно выделить три основные группы проблем: это недостаточная изученность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современного состояния компонентов окружающей среды, недостаточные сведения о наличии ограничений ведения хозяйственной деятельности на участках, необоснованная стоимость проведения ИЭИ. Отдельным пунктом в перечне проблем также стоит проблема нормативной документации.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Итак, к первой группе относятся недостаточные сведения о современном состоянии компонентов окружающей среды, в частности в первую очередь нужно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упомянуть о состоянии почвенного покрова – его загрязненности, плодородных свойствах. Здесь необходимо отметить, что достоверное определение степени и объемов загрязнения грунта напрямую отражается на принятии проектных решений в части охраны земельных ресурсов, проекта организации строительства, решений по рекультивации и сметной стоимости строительства. Распространенной ошибкой среди изыскателей также является отсутствие или 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>некорректно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сть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мощности плодородного слоя почвы, сведения о котором требуются для разработки раздела по рекультивации территории и отражаются на решениях проекта организации строительства. Часто получение этой информации 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происходит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в рамках инженерно-геологических изысканий, что в корне неверно.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Важным упущением является отсутствие или 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>недостаточн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ость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сведени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о состоянии растительного покрова и животного мира, особенно этот вопрос актуален для малоосвоенных территорий.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Часто застройщик или технический заказчик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не обеспечивая проведение исследований растительного и животного мира на должном уровне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не учитывает, что одной из целей принятия технического регламента о безопасности зданий и сооружений является защита жизни и здоровья растений и животных и, соответственно, сведения о наличии охраняемых видах животных и растений, путях миграции животных играют одну из ключевых ролей при проектировании, строительстве и</w:t>
      </w:r>
      <w:proofErr w:type="gram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объекта. Стоит напомнить, что сохранение биоразнообразия 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это одно из ключевых условий устойчивого развития, 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>определенн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C045A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045A2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семирной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конференц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ии ОО</w:t>
      </w:r>
      <w:proofErr w:type="gramEnd"/>
      <w:r w:rsidRPr="00341D7F">
        <w:rPr>
          <w:rFonts w:ascii="Times New Roman" w:hAnsi="Times New Roman" w:cs="Times New Roman"/>
          <w:color w:val="auto"/>
          <w:sz w:val="28"/>
          <w:szCs w:val="28"/>
        </w:rPr>
        <w:t>Н в 1992 году в Рио-де-Жанейро, а в 1995 году Россия подписала международную Конвенцию о сохранении биоразнообразия.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Важным вопросом, который не всегда отражен в полном объеме, являются результаты исследований поверхностных или подземных вод по нормируемым показателям, а также донных отложений. Между тем наличие и достоверность этих данных регламентируют решения по очистке стока и водоотведению и закладываются в основу экологического мониторинга при строительстве и эксплуатации объекта, все это впоследствии оказывает влияние на размер экологических платежей и иных затрат.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Не меньшее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количество вопросов возникает при экспертизе достоверности определения сметной стоимости производства ИЭИ. Основные вопросы здесь связаны как некорректным применением расценок и повышающих коэффициентов справочников базовых цен, необоснованными видами и объемами работ, так и с несовершенством самого справочника («Справочник базовых цен на инженерно-геологические и инженерно-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экологические изыскания для строительства», 1999), большая часть которого ориентирована на инженерно-геологические изыскания. Кстати, необоснованные объемы и виды работ – это наиболее распространенная проблема смет. Очень часто в сметы закладывают объемы или виды работ, количество которых в значительной степени превосходит необходимое.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То же можно сказать и о сметной документации на проведение археологических исследований: в настоящее время Сборник цен на научно-проектные работы по памятникам истории и культуры (1991) в значительной степени устарел и требует серьезной доработки. Так, например, в соответствии с этим сборником, цены на такой обязательный вид работ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как фотосъемка предусматривают фотопечать по классической «мокрой» технологии, а стоимость камеральных работ может превышать стоимость полевых.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Актуальной является проблема качества и полноты исходно-разрешительной документации, а точнее сведений о наличии на участках проектирования территорий с особыми режимами использования территории, к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proofErr w:type="gram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 относятся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ООПТ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, зоны санитарной охраны источников водоснабжения,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санитарно-защитные зоны</w:t>
      </w:r>
      <w:r w:rsidR="00CF40ED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скотомогильников, месторождения полезных ископаемых, </w:t>
      </w:r>
      <w:r w:rsidR="00CF40ED" w:rsidRPr="00341D7F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F40ED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культурного наследия.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наличия каких-либо ограничений на участке проектирования на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предпроектных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стадиях в значительной мере обеспечивает снижение как прямых инвестиционных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рисков, связанных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ограничением или полным запретом строительства, так и косвенных, когда строительство может откладываться по причине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получения дополнительных согласований и разрешений.</w:t>
      </w:r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Нельзя не упомянуть проблему актуальности нормативной документации в области инженерно-экологических изысканий.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Вступивший в силу Перечень национальных стандартов и сводов правил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 xml:space="preserve"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>Технический регламент о безопасности зданий и сооружений</w:t>
      </w:r>
      <w:r w:rsidR="00CF40ED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утвержденный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40ED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остановлением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F40ED" w:rsidRPr="00CF40ED">
        <w:rPr>
          <w:rFonts w:ascii="Times New Roman" w:hAnsi="Times New Roman" w:cs="Times New Roman"/>
          <w:color w:val="auto"/>
          <w:sz w:val="28"/>
          <w:szCs w:val="28"/>
        </w:rPr>
        <w:t xml:space="preserve">26 декабря 2014 г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1521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Перечень)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, включающий отдельные пункты основного руководящего документа при производстве инженерных изысканий – СП 47.13330.2012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«Инженерные</w:t>
      </w:r>
      <w:proofErr w:type="gram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 для строительства. Основные положения»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привел к утрате обязательных требований к регламенту выполнения инженерно-экологических изысканий.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В частности, в Перечень не включены пункты, регламентирующие состав работ по инженерно-экологическим изысканиям,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требованиям о масштабе инженерно-экологических исследований (в</w:t>
      </w:r>
      <w:r w:rsidR="00347B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морских) площадных и линейных объектов, требованиям к методам исследования окружающей среды и экологического состояния ее отдельных компонентов, в </w:t>
      </w:r>
      <w:r w:rsidR="00CF40ED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почвенно-растительного покрова, животного мира, эколого-гидрогеологических и эколого-гидрологических исследований, исследований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радиационной и санитарно-эпидемиологической обстановки,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газогеохимических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и др.</w:t>
      </w:r>
      <w:proofErr w:type="gramEnd"/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По существу в Перечень включены только требования о наличии технического задания и программы инженерно-экологических изысканий, требования к их оформлению, а также требования к составу и оформлению отчетной документации.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обязательных «методологических»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ИЭИ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555" w:rsidRPr="00341D7F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>ев</w:t>
      </w:r>
      <w:r w:rsidR="004C2555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оценки состояния среды, </w:t>
      </w:r>
      <w:r w:rsidR="004C2555" w:rsidRPr="00341D7F">
        <w:rPr>
          <w:rFonts w:ascii="Times New Roman" w:hAnsi="Times New Roman" w:cs="Times New Roman"/>
          <w:color w:val="auto"/>
          <w:sz w:val="28"/>
          <w:szCs w:val="28"/>
        </w:rPr>
        <w:t>метод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C2555"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полевых работ и других аспектов, ставит под сомнение возможность получения достоверных данных о состоянии окружающей среды и, соответственно, не дает возможности эффективно оценить воздействие от проектируемого объекта на окружающую среду и разработать мероприятия по снижению воздействия объекта на среду.</w:t>
      </w:r>
      <w:proofErr w:type="gramEnd"/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Кроме того, отсутствие обязательных требований о необходимости выполнения химико-аналитических и радиационных исследований силами аккредитованных лабораторий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идет вразрез с требованиями Федерального закона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№ 52-ФЗ «О санитарно-эпидемиологическом благополучии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555" w:rsidRPr="004C2555">
        <w:rPr>
          <w:rFonts w:ascii="Times New Roman" w:hAnsi="Times New Roman" w:cs="Times New Roman"/>
          <w:color w:val="auto"/>
          <w:sz w:val="28"/>
          <w:szCs w:val="28"/>
        </w:rPr>
        <w:t>населения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» и может привести к тому, что специализированные аналитические работы, необходимые для оценки радиационной, санитарно-химической и санитарно-биологической безопасности участка строительства, будут выполняться силами заинтересованных организаций, зачастую без необходимого оборудования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>и квалифицированных специалистов.</w:t>
      </w:r>
      <w:proofErr w:type="gram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В свою очередь такая ситуация будет способствовать</w:t>
      </w:r>
      <w:r w:rsidR="00F22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росту экологических рисков (в 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в части защиты жизни и здоровья граждан, охраны окружающей среды, жизни и здоровья животных и растений) при строительстве и эксплуатации объектов капитального строительства, а также необоснованным завышениям сметной стоимости выполнения как самих инженерно-экологических изысканий, так и проекта в целом.</w:t>
      </w:r>
      <w:proofErr w:type="gramEnd"/>
    </w:p>
    <w:p w:rsidR="00F22BEF" w:rsidRDefault="00C86179" w:rsidP="00341D7F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41D7F">
        <w:rPr>
          <w:rFonts w:ascii="Times New Roman" w:hAnsi="Times New Roman" w:cs="Times New Roman"/>
          <w:color w:val="auto"/>
          <w:sz w:val="28"/>
          <w:szCs w:val="28"/>
        </w:rPr>
        <w:t>Кроме того, в последнее время проблемой, требующей все большего внимания, является наличие подложных документов в отчетной документации. В данном случае речь идет о подложных результатах (протоколах) лабораторных исследований и информационных письмах уполномоченных органов. Учитывая, что от достоверности данных, получаемых в результате лабораторных химико-аналитических или радиационных исследований, или же данных о наличии территорий с особыми режимами использования (в т</w:t>
      </w:r>
      <w:r w:rsidR="004C2555">
        <w:rPr>
          <w:rFonts w:ascii="Times New Roman" w:hAnsi="Times New Roman" w:cs="Times New Roman"/>
          <w:color w:val="auto"/>
          <w:sz w:val="28"/>
          <w:szCs w:val="28"/>
        </w:rPr>
        <w:t>ом числе</w:t>
      </w:r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1D7F">
        <w:rPr>
          <w:rFonts w:ascii="Times New Roman" w:hAnsi="Times New Roman" w:cs="Times New Roman"/>
          <w:color w:val="auto"/>
          <w:sz w:val="28"/>
          <w:szCs w:val="28"/>
        </w:rPr>
        <w:t>ООПТ</w:t>
      </w:r>
      <w:proofErr w:type="spellEnd"/>
      <w:r w:rsidRPr="00341D7F">
        <w:rPr>
          <w:rFonts w:ascii="Times New Roman" w:hAnsi="Times New Roman" w:cs="Times New Roman"/>
          <w:color w:val="auto"/>
          <w:sz w:val="28"/>
          <w:szCs w:val="28"/>
        </w:rPr>
        <w:t xml:space="preserve"> или объектов культурного наследия) напрямую зависит принятие проектных решений (а иногда и судьба самого проекта), наличие подделок в отчетной документации недопустимо.</w:t>
      </w:r>
    </w:p>
    <w:p w:rsidR="00C86179" w:rsidRPr="00341D7F" w:rsidRDefault="00C86179" w:rsidP="00341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5EA" w:rsidRPr="00341D7F" w:rsidRDefault="000925EA" w:rsidP="00341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25EA" w:rsidRPr="00341D7F" w:rsidSect="00341D7F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A4" w:rsidRDefault="00684AA4" w:rsidP="00341D7F">
      <w:pPr>
        <w:spacing w:after="0" w:line="240" w:lineRule="auto"/>
      </w:pPr>
      <w:r>
        <w:separator/>
      </w:r>
    </w:p>
  </w:endnote>
  <w:endnote w:type="continuationSeparator" w:id="0">
    <w:p w:rsidR="00684AA4" w:rsidRDefault="00684AA4" w:rsidP="003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A4" w:rsidRDefault="00684AA4" w:rsidP="00341D7F">
      <w:pPr>
        <w:spacing w:after="0" w:line="240" w:lineRule="auto"/>
      </w:pPr>
      <w:r>
        <w:separator/>
      </w:r>
    </w:p>
  </w:footnote>
  <w:footnote w:type="continuationSeparator" w:id="0">
    <w:p w:rsidR="00684AA4" w:rsidRDefault="00684AA4" w:rsidP="0034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16553948"/>
      <w:docPartObj>
        <w:docPartGallery w:val="Page Numbers (Top of Page)"/>
        <w:docPartUnique/>
      </w:docPartObj>
    </w:sdtPr>
    <w:sdtEndPr/>
    <w:sdtContent>
      <w:p w:rsidR="00341D7F" w:rsidRPr="00341D7F" w:rsidRDefault="00341D7F" w:rsidP="00341D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B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D"/>
    <w:rsid w:val="00043321"/>
    <w:rsid w:val="000925EA"/>
    <w:rsid w:val="00304EFD"/>
    <w:rsid w:val="00341D7F"/>
    <w:rsid w:val="00347BC3"/>
    <w:rsid w:val="004C2555"/>
    <w:rsid w:val="00684AA4"/>
    <w:rsid w:val="00717FF1"/>
    <w:rsid w:val="00816A57"/>
    <w:rsid w:val="008C0B4A"/>
    <w:rsid w:val="00C045A2"/>
    <w:rsid w:val="00C86179"/>
    <w:rsid w:val="00CF40ED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C861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C8617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7F"/>
  </w:style>
  <w:style w:type="paragraph" w:styleId="a5">
    <w:name w:val="footer"/>
    <w:basedOn w:val="a"/>
    <w:link w:val="a6"/>
    <w:uiPriority w:val="99"/>
    <w:unhideWhenUsed/>
    <w:rsid w:val="003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D7F"/>
  </w:style>
  <w:style w:type="character" w:styleId="a7">
    <w:name w:val="annotation reference"/>
    <w:basedOn w:val="a0"/>
    <w:uiPriority w:val="99"/>
    <w:semiHidden/>
    <w:unhideWhenUsed/>
    <w:rsid w:val="00F2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B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B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B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C861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C8617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7F"/>
  </w:style>
  <w:style w:type="paragraph" w:styleId="a5">
    <w:name w:val="footer"/>
    <w:basedOn w:val="a"/>
    <w:link w:val="a6"/>
    <w:uiPriority w:val="99"/>
    <w:unhideWhenUsed/>
    <w:rsid w:val="003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D7F"/>
  </w:style>
  <w:style w:type="character" w:styleId="a7">
    <w:name w:val="annotation reference"/>
    <w:basedOn w:val="a0"/>
    <w:uiPriority w:val="99"/>
    <w:semiHidden/>
    <w:unhideWhenUsed/>
    <w:rsid w:val="00F2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B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B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B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2</cp:revision>
  <dcterms:created xsi:type="dcterms:W3CDTF">2016-10-07T09:06:00Z</dcterms:created>
  <dcterms:modified xsi:type="dcterms:W3CDTF">2016-10-07T09:06:00Z</dcterms:modified>
</cp:coreProperties>
</file>